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Pr>
          <w:noProof/>
        </w:rPr>
        <mc:AlternateContent>
          <mc:Choice Requires="wps">
            <w:drawing>
              <wp:anchor distT="45720" distB="45720" distL="114300" distR="114300" simplePos="0" relativeHeight="251658240" behindDoc="0" locked="0" layoutInCell="1" hidden="0" allowOverlap="1">
                <wp:simplePos x="0" y="0"/>
                <wp:positionH relativeFrom="column">
                  <wp:posOffset>-777240</wp:posOffset>
                </wp:positionH>
                <wp:positionV relativeFrom="paragraph">
                  <wp:posOffset>129540</wp:posOffset>
                </wp:positionV>
                <wp:extent cx="10447020" cy="1135380"/>
                <wp:effectExtent l="0" t="0" r="0" b="7620"/>
                <wp:wrapTopAndBottom distT="45720" distB="45720"/>
                <wp:docPr id="218" name="Rectangle 218"/>
                <wp:cNvGraphicFramePr/>
                <a:graphic xmlns:a="http://schemas.openxmlformats.org/drawingml/2006/main">
                  <a:graphicData uri="http://schemas.microsoft.com/office/word/2010/wordprocessingShape">
                    <wps:wsp>
                      <wps:cNvSpPr/>
                      <wps:spPr>
                        <a:xfrm>
                          <a:off x="0" y="0"/>
                          <a:ext cx="10447020" cy="1135380"/>
                        </a:xfrm>
                        <a:prstGeom prst="rect">
                          <a:avLst/>
                        </a:prstGeom>
                        <a:noFill/>
                        <a:ln>
                          <a:noFill/>
                        </a:ln>
                      </wps:spPr>
                      <wps:txbx>
                        <w:txbxContent>
                          <w:p w:rsidR="00A333FE" w:rsidRPr="00CA7B13" w:rsidRDefault="004B130D" w:rsidP="004B130D">
                            <w:pPr>
                              <w:spacing w:line="258" w:lineRule="auto"/>
                              <w:jc w:val="both"/>
                              <w:textDirection w:val="btLr"/>
                              <w:rPr>
                                <w:rFonts w:ascii="Comic Sans MS" w:hAnsi="Comic Sans MS"/>
                                <w:szCs w:val="24"/>
                              </w:rPr>
                            </w:pPr>
                            <w:r w:rsidRPr="00CA7B13">
                              <w:rPr>
                                <w:rFonts w:ascii="Comic Sans MS" w:hAnsi="Comic Sans MS"/>
                                <w:szCs w:val="24"/>
                              </w:rPr>
                              <w:t>At Barnston Primary School, Learning for Life (Personal, Social, Health and Economic) education is a crucial part of a child’s education. It gives children access to critical informatio</w:t>
                            </w:r>
                            <w:r w:rsidR="001710DC" w:rsidRPr="00CA7B13">
                              <w:rPr>
                                <w:rFonts w:ascii="Comic Sans MS" w:hAnsi="Comic Sans MS"/>
                                <w:szCs w:val="24"/>
                              </w:rPr>
                              <w:t>n about themselves and growing up in</w:t>
                            </w:r>
                            <w:r w:rsidRPr="00CA7B13">
                              <w:rPr>
                                <w:rFonts w:ascii="Comic Sans MS" w:hAnsi="Comic Sans MS"/>
                                <w:szCs w:val="24"/>
                              </w:rPr>
                              <w:t xml:space="preserve"> the diverse world around them. At Barnston Primary School we provide a </w:t>
                            </w:r>
                            <w:r w:rsidR="001710DC" w:rsidRPr="00CA7B13">
                              <w:rPr>
                                <w:rFonts w:ascii="Comic Sans MS" w:hAnsi="Comic Sans MS"/>
                                <w:szCs w:val="24"/>
                              </w:rPr>
                              <w:t xml:space="preserve">curriculum that is rich, </w:t>
                            </w:r>
                            <w:r w:rsidRPr="00CA7B13">
                              <w:rPr>
                                <w:rFonts w:ascii="Comic Sans MS" w:hAnsi="Comic Sans MS"/>
                                <w:szCs w:val="24"/>
                              </w:rPr>
                              <w:t>broad and balanced, and meets the unique context of our school. We give pupils access to big ideas and conversations, alongside practical experiences. At the heart of this, is our Gold UNICEF Rights Respecting School work which gives the children knowledge of the world and builds global citizens, ready to go out into the world and make a difference.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61.2pt;margin-top:10.2pt;width:822.6pt;height:8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" filled="f" stroked="f">
                <v:textbox inset="2.53958mm,1.2694mm,2.53958mm,1.2694mm">
                  <w:txbxContent>
                    <w:p w:rsidR="00A333FE" w:rsidRPr="00CA7B13" w:rsidRDefault="004B130D" w:rsidP="004B130D">
                      <w:pPr>
                        <w:spacing w:line="258" w:lineRule="auto"/>
                        <w:jc w:val="both"/>
                        <w:textDirection w:val="btLr"/>
                        <w:rPr>
                          <w:rFonts w:ascii="Comic Sans MS" w:hAnsi="Comic Sans MS"/>
                          <w:szCs w:val="24"/>
                        </w:rPr>
                      </w:pPr>
                      <w:r w:rsidRPr="00CA7B13">
                        <w:rPr>
                          <w:rFonts w:ascii="Comic Sans MS" w:hAnsi="Comic Sans MS"/>
                          <w:szCs w:val="24"/>
                        </w:rPr>
                        <w:t>At Barnston Primary School, Learning for Life (Personal, Social, Health and Economic) education is a crucial part of a child’s education. It gives children access to critical informatio</w:t>
                      </w:r>
                      <w:r w:rsidR="001710DC" w:rsidRPr="00CA7B13">
                        <w:rPr>
                          <w:rFonts w:ascii="Comic Sans MS" w:hAnsi="Comic Sans MS"/>
                          <w:szCs w:val="24"/>
                        </w:rPr>
                        <w:t>n about themselves and growing up in</w:t>
                      </w:r>
                      <w:r w:rsidRPr="00CA7B13">
                        <w:rPr>
                          <w:rFonts w:ascii="Comic Sans MS" w:hAnsi="Comic Sans MS"/>
                          <w:szCs w:val="24"/>
                        </w:rPr>
                        <w:t xml:space="preserve"> the diverse world around them. At Barnston Primary School we provide a </w:t>
                      </w:r>
                      <w:r w:rsidR="001710DC" w:rsidRPr="00CA7B13">
                        <w:rPr>
                          <w:rFonts w:ascii="Comic Sans MS" w:hAnsi="Comic Sans MS"/>
                          <w:szCs w:val="24"/>
                        </w:rPr>
                        <w:t xml:space="preserve">curriculum that is rich, </w:t>
                      </w:r>
                      <w:r w:rsidRPr="00CA7B13">
                        <w:rPr>
                          <w:rFonts w:ascii="Comic Sans MS" w:hAnsi="Comic Sans MS"/>
                          <w:szCs w:val="24"/>
                        </w:rPr>
                        <w:t>broad and balanced, and meets the unique context of our school. We give pupils access to big ideas and conversations, alongside practical experiences. At the heart of this, is our Gold UNICEF Rights Respecting School work which gives the children knowledge of the world and builds global citizens, ready to go out into the world and make a difference.</w:t>
                      </w:r>
                    </w:p>
                  </w:txbxContent>
                </v:textbox>
                <w10:wrap type="topAndBottom"/>
              </v:rect>
            </w:pict>
          </mc:Fallback>
        </mc:AlternateContent>
      </w:r>
    </w:p>
    <w:tbl>
      <w:tblPr>
        <w:tblStyle w:val="a"/>
        <w:tblW w:w="1588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3870"/>
        <w:gridCol w:w="4785"/>
        <w:gridCol w:w="4740"/>
      </w:tblGrid>
      <w:tr w:rsidR="00A333FE">
        <w:trPr>
          <w:trHeight w:val="320"/>
        </w:trPr>
        <w:tc>
          <w:tcPr>
            <w:tcW w:w="2490" w:type="dxa"/>
            <w:vMerge w:val="restart"/>
            <w:shd w:val="clear" w:color="auto" w:fill="FFD965"/>
          </w:tcPr>
          <w:p w:rsidR="00A333FE" w:rsidRDefault="00046458">
            <w:pPr>
              <w:jc w:val="center"/>
              <w:rPr>
                <w:rFonts w:ascii="Comic Sans MS" w:eastAsia="Comic Sans MS" w:hAnsi="Comic Sans MS" w:cs="Comic Sans MS"/>
                <w:sz w:val="32"/>
                <w:szCs w:val="32"/>
              </w:rPr>
            </w:pPr>
            <w:bookmarkStart w:id="1" w:name="_heading=h.gjdgxs" w:colFirst="0" w:colLast="0"/>
            <w:bookmarkEnd w:id="1"/>
            <w:r>
              <w:rPr>
                <w:rFonts w:ascii="Comic Sans MS" w:eastAsia="Comic Sans MS" w:hAnsi="Comic Sans MS" w:cs="Comic Sans MS"/>
                <w:sz w:val="32"/>
                <w:szCs w:val="32"/>
              </w:rPr>
              <w:t>Term</w:t>
            </w:r>
          </w:p>
        </w:tc>
        <w:tc>
          <w:tcPr>
            <w:tcW w:w="387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4785"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474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A333FE">
        <w:trPr>
          <w:trHeight w:val="264"/>
        </w:trPr>
        <w:tc>
          <w:tcPr>
            <w:tcW w:w="2490" w:type="dxa"/>
            <w:vMerge/>
            <w:shd w:val="clear" w:color="auto" w:fill="FFD965"/>
          </w:tcPr>
          <w:p w:rsidR="00A333FE" w:rsidRDefault="00A333FE">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3395" w:type="dxa"/>
            <w:gridSpan w:val="3"/>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Me and my relationships</w:t>
            </w:r>
          </w:p>
        </w:tc>
        <w:tc>
          <w:tcPr>
            <w:tcW w:w="4785"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Me and my relationships</w:t>
            </w:r>
          </w:p>
        </w:tc>
        <w:tc>
          <w:tcPr>
            <w:tcW w:w="4740"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Me and my relationships</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2</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Valuing difference</w:t>
            </w:r>
          </w:p>
        </w:tc>
        <w:tc>
          <w:tcPr>
            <w:tcW w:w="4785"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Valuing difference</w:t>
            </w:r>
          </w:p>
        </w:tc>
        <w:tc>
          <w:tcPr>
            <w:tcW w:w="4740"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Valuing difference</w:t>
            </w:r>
          </w:p>
        </w:tc>
      </w:tr>
      <w:tr w:rsidR="00A333FE">
        <w:trPr>
          <w:trHeight w:val="267"/>
        </w:trPr>
        <w:tc>
          <w:tcPr>
            <w:tcW w:w="2490" w:type="dxa"/>
            <w:shd w:val="clear" w:color="auto" w:fill="FFD965"/>
          </w:tcPr>
          <w:p w:rsidR="00A333FE" w:rsidRDefault="00A333FE">
            <w:pPr>
              <w:jc w:val="center"/>
              <w:rPr>
                <w:rFonts w:ascii="Comic Sans MS" w:eastAsia="Comic Sans MS" w:hAnsi="Comic Sans MS" w:cs="Comic Sans MS"/>
                <w:sz w:val="32"/>
                <w:szCs w:val="32"/>
              </w:rPr>
            </w:pPr>
          </w:p>
        </w:tc>
        <w:tc>
          <w:tcPr>
            <w:tcW w:w="13395" w:type="dxa"/>
            <w:gridSpan w:val="3"/>
            <w:shd w:val="clear" w:color="auto" w:fill="FFD965"/>
          </w:tcPr>
          <w:p w:rsidR="00A333FE" w:rsidRDefault="00046458" w:rsidP="004B130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2</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r>
      <w:tr w:rsidR="00A333FE">
        <w:trPr>
          <w:trHeight w:val="267"/>
        </w:trPr>
        <w:tc>
          <w:tcPr>
            <w:tcW w:w="2490" w:type="dxa"/>
            <w:shd w:val="clear" w:color="auto" w:fill="FFD965"/>
          </w:tcPr>
          <w:p w:rsidR="00A333FE" w:rsidRDefault="00A333FE">
            <w:pPr>
              <w:jc w:val="center"/>
              <w:rPr>
                <w:rFonts w:ascii="Comic Sans MS" w:eastAsia="Comic Sans MS" w:hAnsi="Comic Sans MS" w:cs="Comic Sans MS"/>
                <w:sz w:val="32"/>
                <w:szCs w:val="32"/>
              </w:rPr>
            </w:pPr>
          </w:p>
        </w:tc>
        <w:tc>
          <w:tcPr>
            <w:tcW w:w="13395" w:type="dxa"/>
            <w:gridSpan w:val="3"/>
            <w:shd w:val="clear" w:color="auto" w:fill="FFD965"/>
          </w:tcPr>
          <w:p w:rsidR="00A333FE" w:rsidRDefault="00046458" w:rsidP="004B130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2</w:t>
            </w:r>
          </w:p>
        </w:tc>
        <w:tc>
          <w:tcPr>
            <w:tcW w:w="3870"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 xml:space="preserve">Growing and changing </w:t>
            </w:r>
          </w:p>
        </w:tc>
        <w:tc>
          <w:tcPr>
            <w:tcW w:w="4785"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Growing and changing</w:t>
            </w:r>
          </w:p>
        </w:tc>
        <w:tc>
          <w:tcPr>
            <w:tcW w:w="4740"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Growing and changing</w:t>
            </w:r>
          </w:p>
        </w:tc>
      </w:tr>
    </w:tbl>
    <w:p w:rsidR="00A333FE" w:rsidRDefault="00A333FE"/>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7A" w:rsidRDefault="005A787A">
      <w:pPr>
        <w:spacing w:after="0" w:line="240" w:lineRule="auto"/>
      </w:pPr>
      <w:r>
        <w:separator/>
      </w:r>
    </w:p>
  </w:endnote>
  <w:endnote w:type="continuationSeparator" w:id="0">
    <w:p w:rsidR="005A787A" w:rsidRDefault="005A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7A" w:rsidRDefault="005A787A">
      <w:pPr>
        <w:spacing w:after="0" w:line="240" w:lineRule="auto"/>
      </w:pPr>
      <w:r>
        <w:separator/>
      </w:r>
    </w:p>
  </w:footnote>
  <w:footnote w:type="continuationSeparator" w:id="0">
    <w:p w:rsidR="005A787A" w:rsidRDefault="005A7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FE" w:rsidRDefault="00046458">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Rectangle 221"/>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Rectangle 220"/>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A333FE" w:rsidRDefault="004B130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Learning for Life Curriculum Map Cycle </w:t>
    </w:r>
    <w:r w:rsidR="00046458">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Rectangle 219"/>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r>
      <w:rPr>
        <w:rFonts w:ascii="Comic Sans MS" w:eastAsia="Comic Sans MS" w:hAnsi="Comic Sans MS" w:cs="Comic Sans MS"/>
        <w:color w:val="000000"/>
        <w:sz w:val="36"/>
        <w:szCs w:val="3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1710DC"/>
    <w:rsid w:val="00315112"/>
    <w:rsid w:val="004B130D"/>
    <w:rsid w:val="005A787A"/>
    <w:rsid w:val="0069187F"/>
    <w:rsid w:val="00A333FE"/>
    <w:rsid w:val="00CA7B13"/>
    <w:rsid w:val="00EE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3</cp:revision>
  <dcterms:created xsi:type="dcterms:W3CDTF">2023-09-04T17:07:00Z</dcterms:created>
  <dcterms:modified xsi:type="dcterms:W3CDTF">2023-09-04T17:07:00Z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